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6B3" w:rsidRPr="00C95853" w:rsidRDefault="00C95853" w:rsidP="00C9585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95853">
        <w:rPr>
          <w:rFonts w:ascii="Arial" w:hAnsi="Arial" w:cs="Arial"/>
          <w:sz w:val="20"/>
          <w:szCs w:val="20"/>
        </w:rPr>
        <w:t>Številka: 007-2/2020</w:t>
      </w:r>
    </w:p>
    <w:p w:rsidR="00C95853" w:rsidRPr="00C95853" w:rsidRDefault="00C95853" w:rsidP="00C9585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95853">
        <w:rPr>
          <w:rFonts w:ascii="Arial" w:hAnsi="Arial" w:cs="Arial"/>
          <w:sz w:val="20"/>
          <w:szCs w:val="20"/>
        </w:rPr>
        <w:t>Datum:</w:t>
      </w:r>
    </w:p>
    <w:p w:rsidR="007976E1" w:rsidRDefault="007976E1" w:rsidP="00C95853">
      <w:pPr>
        <w:spacing w:line="276" w:lineRule="auto"/>
        <w:rPr>
          <w:rFonts w:ascii="Arial" w:hAnsi="Arial" w:cs="Arial"/>
          <w:sz w:val="20"/>
          <w:szCs w:val="20"/>
        </w:rPr>
      </w:pPr>
    </w:p>
    <w:p w:rsidR="00C95853" w:rsidRDefault="00C95853" w:rsidP="00C9585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CENIK </w:t>
      </w:r>
      <w:r w:rsidRPr="00C95853">
        <w:rPr>
          <w:rFonts w:ascii="Arial" w:hAnsi="Arial" w:cs="Arial"/>
          <w:sz w:val="20"/>
          <w:szCs w:val="20"/>
        </w:rPr>
        <w:t>NAJEMA DVORAN KONGRESNO KULTURNEGA SREDIŠČA DOMINIKANSKI SAMOSTAN</w:t>
      </w:r>
    </w:p>
    <w:tbl>
      <w:tblPr>
        <w:tblpPr w:leftFromText="141" w:rightFromText="141" w:vertAnchor="page" w:horzAnchor="margin" w:tblpY="3042"/>
        <w:tblW w:w="1441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0"/>
        <w:gridCol w:w="1396"/>
        <w:gridCol w:w="1839"/>
        <w:gridCol w:w="1639"/>
        <w:gridCol w:w="1371"/>
        <w:gridCol w:w="2212"/>
        <w:gridCol w:w="2509"/>
      </w:tblGrid>
      <w:tr w:rsidR="007976E1" w:rsidRPr="007976E1" w:rsidTr="00DA3A4B">
        <w:trPr>
          <w:trHeight w:val="361"/>
          <w:tblHeader/>
          <w:tblCellSpacing w:w="15" w:type="dxa"/>
        </w:trPr>
        <w:tc>
          <w:tcPr>
            <w:tcW w:w="3405" w:type="dxa"/>
            <w:shd w:val="clear" w:color="auto" w:fill="E7E6E6" w:themeFill="background2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Najem</w:t>
            </w:r>
          </w:p>
        </w:tc>
        <w:tc>
          <w:tcPr>
            <w:tcW w:w="1366" w:type="dxa"/>
            <w:shd w:val="clear" w:color="auto" w:fill="E7E6E6" w:themeFill="background2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Velika dvorana</w:t>
            </w:r>
          </w:p>
        </w:tc>
        <w:tc>
          <w:tcPr>
            <w:tcW w:w="1809" w:type="dxa"/>
            <w:shd w:val="clear" w:color="auto" w:fill="E7E6E6" w:themeFill="background2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Mala dvorana</w:t>
            </w:r>
          </w:p>
        </w:tc>
        <w:tc>
          <w:tcPr>
            <w:tcW w:w="1609" w:type="dxa"/>
            <w:shd w:val="clear" w:color="auto" w:fill="E7E6E6" w:themeFill="background2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Refektorij</w:t>
            </w:r>
          </w:p>
        </w:tc>
        <w:tc>
          <w:tcPr>
            <w:tcW w:w="1341" w:type="dxa"/>
            <w:shd w:val="clear" w:color="auto" w:fill="E7E6E6" w:themeFill="background2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Križni hodnik</w:t>
            </w:r>
          </w:p>
        </w:tc>
        <w:tc>
          <w:tcPr>
            <w:tcW w:w="2182" w:type="dxa"/>
            <w:shd w:val="clear" w:color="auto" w:fill="E7E6E6" w:themeFill="background2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Zunanje dvorišče</w:t>
            </w:r>
          </w:p>
        </w:tc>
        <w:tc>
          <w:tcPr>
            <w:tcW w:w="2464" w:type="dxa"/>
            <w:shd w:val="clear" w:color="auto" w:fill="E7E6E6" w:themeFill="background2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Notranje dvorišče</w:t>
            </w:r>
          </w:p>
        </w:tc>
      </w:tr>
      <w:tr w:rsidR="007976E1" w:rsidRPr="007976E1" w:rsidTr="007976E1">
        <w:trPr>
          <w:trHeight w:val="643"/>
          <w:tblCellSpacing w:w="15" w:type="dxa"/>
        </w:trPr>
        <w:tc>
          <w:tcPr>
            <w:tcW w:w="3405" w:type="dxa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Ekonomski najem (osnovno ozvočenje, bela odrska luč, projektor, tehnik) – izvzete poroke</w:t>
            </w:r>
          </w:p>
        </w:tc>
        <w:tc>
          <w:tcPr>
            <w:tcW w:w="1366" w:type="dxa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760 €</w:t>
            </w:r>
          </w:p>
        </w:tc>
        <w:tc>
          <w:tcPr>
            <w:tcW w:w="1809" w:type="dxa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380 €</w:t>
            </w:r>
          </w:p>
        </w:tc>
        <w:tc>
          <w:tcPr>
            <w:tcW w:w="1609" w:type="dxa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380 €</w:t>
            </w:r>
          </w:p>
        </w:tc>
        <w:tc>
          <w:tcPr>
            <w:tcW w:w="1341" w:type="dxa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380 €</w:t>
            </w:r>
          </w:p>
        </w:tc>
        <w:tc>
          <w:tcPr>
            <w:tcW w:w="2182" w:type="dxa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450 €</w:t>
            </w:r>
          </w:p>
        </w:tc>
        <w:tc>
          <w:tcPr>
            <w:tcW w:w="2464" w:type="dxa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380 €</w:t>
            </w:r>
          </w:p>
        </w:tc>
      </w:tr>
      <w:tr w:rsidR="007976E1" w:rsidRPr="007976E1" w:rsidTr="007976E1">
        <w:trPr>
          <w:trHeight w:val="219"/>
          <w:tblCellSpacing w:w="15" w:type="dxa"/>
        </w:trPr>
        <w:tc>
          <w:tcPr>
            <w:tcW w:w="3405" w:type="dxa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Mestna občina Ptuj </w:t>
            </w:r>
          </w:p>
        </w:tc>
        <w:tc>
          <w:tcPr>
            <w:tcW w:w="1366" w:type="dxa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76 €</w:t>
            </w:r>
          </w:p>
        </w:tc>
        <w:tc>
          <w:tcPr>
            <w:tcW w:w="1809" w:type="dxa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38 €</w:t>
            </w:r>
          </w:p>
        </w:tc>
        <w:tc>
          <w:tcPr>
            <w:tcW w:w="1609" w:type="dxa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38 €</w:t>
            </w:r>
          </w:p>
        </w:tc>
        <w:tc>
          <w:tcPr>
            <w:tcW w:w="1341" w:type="dxa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38 €</w:t>
            </w:r>
          </w:p>
        </w:tc>
        <w:tc>
          <w:tcPr>
            <w:tcW w:w="2182" w:type="dxa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45 €</w:t>
            </w:r>
          </w:p>
        </w:tc>
        <w:tc>
          <w:tcPr>
            <w:tcW w:w="2464" w:type="dxa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38 €</w:t>
            </w:r>
          </w:p>
        </w:tc>
      </w:tr>
      <w:tr w:rsidR="007976E1" w:rsidRPr="007976E1" w:rsidTr="007976E1">
        <w:trPr>
          <w:trHeight w:val="1062"/>
          <w:tblCellSpacing w:w="15" w:type="dxa"/>
        </w:trPr>
        <w:tc>
          <w:tcPr>
            <w:tcW w:w="3405" w:type="dxa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Javni zavodi ustanovljeni s strani Mestne občine Ptuj. Javno vzgojno-izobraževalni zavodi, katerih ustanoviteljica ni Mestna občina Ptuj, vendar imajo sedež v MO Ptuj.</w:t>
            </w:r>
          </w:p>
        </w:tc>
        <w:tc>
          <w:tcPr>
            <w:tcW w:w="1366" w:type="dxa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380 €</w:t>
            </w:r>
          </w:p>
        </w:tc>
        <w:tc>
          <w:tcPr>
            <w:tcW w:w="1809" w:type="dxa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190 €</w:t>
            </w:r>
          </w:p>
        </w:tc>
        <w:tc>
          <w:tcPr>
            <w:tcW w:w="1609" w:type="dxa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190 €</w:t>
            </w:r>
          </w:p>
        </w:tc>
        <w:tc>
          <w:tcPr>
            <w:tcW w:w="1341" w:type="dxa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190 €</w:t>
            </w:r>
          </w:p>
        </w:tc>
        <w:tc>
          <w:tcPr>
            <w:tcW w:w="2182" w:type="dxa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225 €</w:t>
            </w:r>
          </w:p>
        </w:tc>
        <w:tc>
          <w:tcPr>
            <w:tcW w:w="2464" w:type="dxa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190 €</w:t>
            </w:r>
          </w:p>
        </w:tc>
      </w:tr>
      <w:tr w:rsidR="007976E1" w:rsidRPr="007976E1" w:rsidTr="007976E1">
        <w:trPr>
          <w:trHeight w:val="219"/>
          <w:tblCellSpacing w:w="15" w:type="dxa"/>
        </w:trPr>
        <w:tc>
          <w:tcPr>
            <w:tcW w:w="3405" w:type="dxa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Urni najem*</w:t>
            </w:r>
          </w:p>
        </w:tc>
        <w:tc>
          <w:tcPr>
            <w:tcW w:w="1366" w:type="dxa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70 €</w:t>
            </w:r>
          </w:p>
        </w:tc>
        <w:tc>
          <w:tcPr>
            <w:tcW w:w="1809" w:type="dxa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70 €</w:t>
            </w:r>
          </w:p>
        </w:tc>
        <w:tc>
          <w:tcPr>
            <w:tcW w:w="1609" w:type="dxa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70 €</w:t>
            </w:r>
          </w:p>
        </w:tc>
        <w:tc>
          <w:tcPr>
            <w:tcW w:w="1341" w:type="dxa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70 €</w:t>
            </w:r>
          </w:p>
        </w:tc>
        <w:tc>
          <w:tcPr>
            <w:tcW w:w="2182" w:type="dxa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70 €</w:t>
            </w:r>
          </w:p>
        </w:tc>
        <w:tc>
          <w:tcPr>
            <w:tcW w:w="2464" w:type="dxa"/>
            <w:vAlign w:val="center"/>
            <w:hideMark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70 €</w:t>
            </w:r>
          </w:p>
        </w:tc>
      </w:tr>
      <w:tr w:rsidR="007976E1" w:rsidRPr="007976E1" w:rsidTr="007976E1">
        <w:trPr>
          <w:trHeight w:val="219"/>
          <w:tblCellSpacing w:w="15" w:type="dxa"/>
        </w:trPr>
        <w:tc>
          <w:tcPr>
            <w:tcW w:w="3405" w:type="dxa"/>
            <w:vAlign w:val="center"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Poroka (</w:t>
            </w:r>
            <w:proofErr w:type="spellStart"/>
            <w:r w:rsidRPr="00797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obred+slavje</w:t>
            </w:r>
            <w:proofErr w:type="spellEnd"/>
            <w:r w:rsidRPr="00797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)**</w:t>
            </w:r>
          </w:p>
        </w:tc>
        <w:tc>
          <w:tcPr>
            <w:tcW w:w="1366" w:type="dxa"/>
            <w:vAlign w:val="center"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 xml:space="preserve"> 1.500,00€</w:t>
            </w:r>
          </w:p>
        </w:tc>
        <w:tc>
          <w:tcPr>
            <w:tcW w:w="1809" w:type="dxa"/>
            <w:vAlign w:val="center"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1.500,00€</w:t>
            </w:r>
          </w:p>
        </w:tc>
        <w:tc>
          <w:tcPr>
            <w:tcW w:w="1609" w:type="dxa"/>
            <w:vAlign w:val="center"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1.500,00€</w:t>
            </w:r>
          </w:p>
        </w:tc>
        <w:tc>
          <w:tcPr>
            <w:tcW w:w="1341" w:type="dxa"/>
            <w:vAlign w:val="center"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1.500,00€</w:t>
            </w:r>
          </w:p>
        </w:tc>
        <w:tc>
          <w:tcPr>
            <w:tcW w:w="2182" w:type="dxa"/>
            <w:vAlign w:val="center"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1.500,00€</w:t>
            </w:r>
          </w:p>
        </w:tc>
        <w:tc>
          <w:tcPr>
            <w:tcW w:w="2464" w:type="dxa"/>
            <w:vAlign w:val="center"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1.500,00€</w:t>
            </w:r>
          </w:p>
        </w:tc>
      </w:tr>
      <w:tr w:rsidR="007976E1" w:rsidRPr="007976E1" w:rsidTr="007976E1">
        <w:trPr>
          <w:trHeight w:val="723"/>
          <w:tblCellSpacing w:w="15" w:type="dxa"/>
        </w:trPr>
        <w:tc>
          <w:tcPr>
            <w:tcW w:w="3405" w:type="dxa"/>
            <w:vAlign w:val="center"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Poroka (obred)</w:t>
            </w:r>
          </w:p>
        </w:tc>
        <w:tc>
          <w:tcPr>
            <w:tcW w:w="1366" w:type="dxa"/>
            <w:vAlign w:val="center"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9" w:type="dxa"/>
            <w:vAlign w:val="center"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Do 50 oseb 455,00€</w:t>
            </w:r>
          </w:p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Nad 50 oseb 585,00€</w:t>
            </w:r>
          </w:p>
        </w:tc>
        <w:tc>
          <w:tcPr>
            <w:tcW w:w="1341" w:type="dxa"/>
            <w:vAlign w:val="center"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82" w:type="dxa"/>
            <w:vAlign w:val="center"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Do 50 oseb 455,00€</w:t>
            </w:r>
          </w:p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Nad 50 oseb 585,00€</w:t>
            </w:r>
          </w:p>
        </w:tc>
        <w:tc>
          <w:tcPr>
            <w:tcW w:w="2464" w:type="dxa"/>
            <w:vAlign w:val="center"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Do 50 oseb 455,00€</w:t>
            </w:r>
          </w:p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Nad 50 oseb 585,00€</w:t>
            </w:r>
          </w:p>
        </w:tc>
      </w:tr>
      <w:tr w:rsidR="007976E1" w:rsidRPr="007976E1" w:rsidTr="007976E1">
        <w:trPr>
          <w:trHeight w:val="225"/>
          <w:tblCellSpacing w:w="15" w:type="dxa"/>
        </w:trPr>
        <w:tc>
          <w:tcPr>
            <w:tcW w:w="3405" w:type="dxa"/>
            <w:vAlign w:val="center"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Slavje***</w:t>
            </w:r>
          </w:p>
        </w:tc>
        <w:tc>
          <w:tcPr>
            <w:tcW w:w="1366" w:type="dxa"/>
            <w:vAlign w:val="center"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1.000,00€</w:t>
            </w:r>
          </w:p>
        </w:tc>
        <w:tc>
          <w:tcPr>
            <w:tcW w:w="1809" w:type="dxa"/>
            <w:vAlign w:val="center"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1.000,00€</w:t>
            </w:r>
          </w:p>
        </w:tc>
        <w:tc>
          <w:tcPr>
            <w:tcW w:w="1609" w:type="dxa"/>
            <w:vAlign w:val="center"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1.000,00€</w:t>
            </w:r>
          </w:p>
        </w:tc>
        <w:tc>
          <w:tcPr>
            <w:tcW w:w="1341" w:type="dxa"/>
            <w:vAlign w:val="center"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1.000,00€</w:t>
            </w:r>
          </w:p>
        </w:tc>
        <w:tc>
          <w:tcPr>
            <w:tcW w:w="2182" w:type="dxa"/>
            <w:vAlign w:val="center"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1.000,00€</w:t>
            </w:r>
          </w:p>
        </w:tc>
        <w:tc>
          <w:tcPr>
            <w:tcW w:w="2464" w:type="dxa"/>
            <w:vAlign w:val="center"/>
          </w:tcPr>
          <w:p w:rsidR="007976E1" w:rsidRPr="007976E1" w:rsidRDefault="007976E1" w:rsidP="007976E1">
            <w:pPr>
              <w:widowControl w:val="0"/>
              <w:adjustRightInd w:val="0"/>
              <w:spacing w:line="278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976E1">
              <w:rPr>
                <w:rFonts w:ascii="Arial" w:eastAsia="Times New Roman" w:hAnsi="Arial" w:cs="Arial"/>
                <w:sz w:val="18"/>
                <w:szCs w:val="18"/>
              </w:rPr>
              <w:t>1.000,00€</w:t>
            </w:r>
          </w:p>
        </w:tc>
      </w:tr>
    </w:tbl>
    <w:p w:rsidR="007976E1" w:rsidRDefault="007976E1" w:rsidP="00C9585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976E1" w:rsidRDefault="007976E1" w:rsidP="00C9585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C95853" w:rsidRPr="007976E1" w:rsidRDefault="00C95853" w:rsidP="007976E1">
      <w:pPr>
        <w:spacing w:line="276" w:lineRule="auto"/>
        <w:rPr>
          <w:rFonts w:ascii="Arial" w:hAnsi="Arial" w:cs="Arial"/>
          <w:sz w:val="20"/>
          <w:szCs w:val="20"/>
        </w:rPr>
      </w:pPr>
    </w:p>
    <w:p w:rsidR="007976E1" w:rsidRPr="007976E1" w:rsidRDefault="007976E1" w:rsidP="007976E1">
      <w:pPr>
        <w:jc w:val="both"/>
        <w:rPr>
          <w:rFonts w:ascii="Arial" w:hAnsi="Arial" w:cs="Arial"/>
          <w:sz w:val="20"/>
          <w:szCs w:val="20"/>
        </w:rPr>
      </w:pPr>
      <w:r w:rsidRPr="007976E1">
        <w:rPr>
          <w:rFonts w:ascii="Arial" w:hAnsi="Arial" w:cs="Arial"/>
          <w:i/>
          <w:iCs/>
          <w:sz w:val="20"/>
          <w:szCs w:val="20"/>
        </w:rPr>
        <w:lastRenderedPageBreak/>
        <w:t>*</w:t>
      </w:r>
      <w:r w:rsidRPr="007976E1">
        <w:rPr>
          <w:rFonts w:ascii="Arial" w:hAnsi="Arial" w:cs="Arial"/>
          <w:sz w:val="20"/>
          <w:szCs w:val="20"/>
        </w:rPr>
        <w:t>Urni najem je omejen na največ 2 uri. V časovni okvir dveh ur se šteje celoten čas zasedenosti prostora, vključno s pripravo dogodka, tehničnimi nastavitvami,       zaključevanjem aktivnosti ter pospravljanjem. Omejitev se ne nanaša na trajanje samega dogodka, temveč na skupni čas uporabe prostora.</w:t>
      </w:r>
    </w:p>
    <w:p w:rsidR="007976E1" w:rsidRPr="007976E1" w:rsidRDefault="007976E1" w:rsidP="007976E1">
      <w:pPr>
        <w:jc w:val="both"/>
        <w:rPr>
          <w:rFonts w:ascii="Arial" w:hAnsi="Arial" w:cs="Arial"/>
          <w:sz w:val="20"/>
          <w:szCs w:val="20"/>
        </w:rPr>
      </w:pPr>
      <w:r w:rsidRPr="007976E1">
        <w:rPr>
          <w:rFonts w:ascii="Arial" w:hAnsi="Arial" w:cs="Arial"/>
          <w:sz w:val="20"/>
          <w:szCs w:val="20"/>
        </w:rPr>
        <w:t>**Najem prostora za poroke (</w:t>
      </w:r>
      <w:proofErr w:type="spellStart"/>
      <w:r w:rsidRPr="007976E1">
        <w:rPr>
          <w:rFonts w:ascii="Arial" w:hAnsi="Arial" w:cs="Arial"/>
          <w:sz w:val="20"/>
          <w:szCs w:val="20"/>
        </w:rPr>
        <w:t>obred+slavje</w:t>
      </w:r>
      <w:proofErr w:type="spellEnd"/>
      <w:r w:rsidRPr="007976E1">
        <w:rPr>
          <w:rFonts w:ascii="Arial" w:hAnsi="Arial" w:cs="Arial"/>
          <w:sz w:val="20"/>
          <w:szCs w:val="20"/>
        </w:rPr>
        <w:t>). Uporaba prostorov je odvisna od želja najemnika in od vremena.</w:t>
      </w:r>
    </w:p>
    <w:p w:rsidR="007976E1" w:rsidRPr="007976E1" w:rsidRDefault="007976E1" w:rsidP="007976E1">
      <w:pPr>
        <w:jc w:val="both"/>
        <w:rPr>
          <w:rFonts w:ascii="Arial" w:hAnsi="Arial" w:cs="Arial"/>
          <w:sz w:val="20"/>
          <w:szCs w:val="20"/>
        </w:rPr>
      </w:pPr>
      <w:r w:rsidRPr="007976E1">
        <w:rPr>
          <w:rFonts w:ascii="Arial" w:hAnsi="Arial" w:cs="Arial"/>
          <w:sz w:val="20"/>
          <w:szCs w:val="20"/>
        </w:rPr>
        <w:t>***Najem prostora za slavje. Uporaba prostorov je odvisna od želja najemnika in od vremena.</w:t>
      </w:r>
    </w:p>
    <w:p w:rsidR="007976E1" w:rsidRPr="007976E1" w:rsidRDefault="007976E1" w:rsidP="007976E1">
      <w:pPr>
        <w:jc w:val="both"/>
        <w:rPr>
          <w:rFonts w:ascii="Arial" w:hAnsi="Arial" w:cs="Arial"/>
          <w:sz w:val="20"/>
          <w:szCs w:val="20"/>
        </w:rPr>
      </w:pPr>
      <w:r w:rsidRPr="007976E1">
        <w:rPr>
          <w:rFonts w:ascii="Arial" w:hAnsi="Arial" w:cs="Arial"/>
          <w:sz w:val="20"/>
          <w:szCs w:val="20"/>
        </w:rPr>
        <w:t>V kurilni sezoni se osnovna cena dvigne za 20%.</w:t>
      </w:r>
    </w:p>
    <w:p w:rsidR="007976E1" w:rsidRPr="007976E1" w:rsidRDefault="007976E1" w:rsidP="007976E1">
      <w:pPr>
        <w:jc w:val="both"/>
        <w:rPr>
          <w:rFonts w:ascii="Arial" w:hAnsi="Arial" w:cs="Arial"/>
          <w:sz w:val="20"/>
          <w:szCs w:val="20"/>
        </w:rPr>
      </w:pPr>
      <w:r w:rsidRPr="007976E1">
        <w:rPr>
          <w:rFonts w:ascii="Arial" w:hAnsi="Arial" w:cs="Arial"/>
          <w:sz w:val="20"/>
          <w:szCs w:val="20"/>
        </w:rPr>
        <w:t>V sezoni (maj–september) se slavja, ki potekajo ob sobotah, obračunajo po ceniku porok.</w:t>
      </w:r>
    </w:p>
    <w:p w:rsidR="00C95853" w:rsidRPr="007976E1" w:rsidRDefault="007976E1" w:rsidP="007976E1">
      <w:pPr>
        <w:jc w:val="both"/>
        <w:rPr>
          <w:rFonts w:ascii="Arial" w:hAnsi="Arial" w:cs="Arial"/>
          <w:sz w:val="20"/>
          <w:szCs w:val="20"/>
        </w:rPr>
      </w:pPr>
      <w:r w:rsidRPr="007976E1">
        <w:rPr>
          <w:rFonts w:ascii="Arial" w:hAnsi="Arial" w:cs="Arial"/>
          <w:sz w:val="20"/>
          <w:szCs w:val="20"/>
        </w:rPr>
        <w:t>V cenah ni zajet DDV, vse cene vključujejo storitev osnovnega čiščenja. Pri prireditvah s pogostitvijo se čiščenje obračuna dodatno.</w:t>
      </w:r>
    </w:p>
    <w:p w:rsidR="00C95853" w:rsidRPr="007976E1" w:rsidRDefault="00C95853" w:rsidP="00C9585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95853" w:rsidRPr="007976E1" w:rsidRDefault="00C95853" w:rsidP="00C95853">
      <w:pPr>
        <w:spacing w:after="0" w:line="276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7976E1">
        <w:rPr>
          <w:rFonts w:ascii="Arial" w:hAnsi="Arial" w:cs="Arial"/>
          <w:sz w:val="20"/>
          <w:szCs w:val="20"/>
        </w:rPr>
        <w:t xml:space="preserve">Nuška Gajšek </w:t>
      </w:r>
    </w:p>
    <w:p w:rsidR="00C95853" w:rsidRPr="00C95853" w:rsidRDefault="00DA3A4B" w:rsidP="00C95853">
      <w:pPr>
        <w:spacing w:after="0" w:line="276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95853" w:rsidRPr="007976E1">
        <w:rPr>
          <w:rFonts w:ascii="Arial" w:hAnsi="Arial" w:cs="Arial"/>
          <w:sz w:val="20"/>
          <w:szCs w:val="20"/>
        </w:rPr>
        <w:t>županja</w:t>
      </w:r>
    </w:p>
    <w:sectPr w:rsidR="00C95853" w:rsidRPr="00C95853" w:rsidSect="007976E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027" w:rsidRDefault="00F67027" w:rsidP="00C95853">
      <w:pPr>
        <w:spacing w:after="0" w:line="240" w:lineRule="auto"/>
      </w:pPr>
      <w:r>
        <w:separator/>
      </w:r>
    </w:p>
  </w:endnote>
  <w:endnote w:type="continuationSeparator" w:id="0">
    <w:p w:rsidR="00F67027" w:rsidRDefault="00F67027" w:rsidP="00C9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027" w:rsidRDefault="00F67027" w:rsidP="00C95853">
      <w:pPr>
        <w:spacing w:after="0" w:line="240" w:lineRule="auto"/>
      </w:pPr>
      <w:r>
        <w:separator/>
      </w:r>
    </w:p>
  </w:footnote>
  <w:footnote w:type="continuationSeparator" w:id="0">
    <w:p w:rsidR="00F67027" w:rsidRDefault="00F67027" w:rsidP="00C9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853" w:rsidRDefault="00C95853" w:rsidP="00DA3A4B">
    <w:pPr>
      <w:pStyle w:val="Glava"/>
      <w:jc w:val="center"/>
    </w:pPr>
    <w:r>
      <w:t>Predlog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53"/>
    <w:rsid w:val="00656BCF"/>
    <w:rsid w:val="007976E1"/>
    <w:rsid w:val="00C52B41"/>
    <w:rsid w:val="00C95853"/>
    <w:rsid w:val="00DA3A4B"/>
    <w:rsid w:val="00DE5E06"/>
    <w:rsid w:val="00F6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7B22"/>
  <w15:chartTrackingRefBased/>
  <w15:docId w15:val="{1C735284-2C71-40EB-AB42-F93690A4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95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5853"/>
  </w:style>
  <w:style w:type="paragraph" w:styleId="Noga">
    <w:name w:val="footer"/>
    <w:basedOn w:val="Navaden"/>
    <w:link w:val="NogaZnak"/>
    <w:uiPriority w:val="99"/>
    <w:unhideWhenUsed/>
    <w:rsid w:val="00C95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5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Ferme</dc:creator>
  <cp:keywords/>
  <dc:description/>
  <cp:lastModifiedBy>Matej Gajser</cp:lastModifiedBy>
  <cp:revision>2</cp:revision>
  <dcterms:created xsi:type="dcterms:W3CDTF">2026-01-15T13:24:00Z</dcterms:created>
  <dcterms:modified xsi:type="dcterms:W3CDTF">2026-01-15T13:24:00Z</dcterms:modified>
</cp:coreProperties>
</file>